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F638B" w14:textId="77777777" w:rsidR="00046FB5" w:rsidRDefault="00000000">
      <w:pPr>
        <w:pStyle w:val="Title"/>
      </w:pPr>
      <w:r>
        <w:t>NATIONAL DISABILITY DIALOGUE 2026</w:t>
      </w:r>
    </w:p>
    <w:p w14:paraId="6C7AA841" w14:textId="77777777" w:rsidR="00046FB5" w:rsidRPr="00597F4E" w:rsidRDefault="00000000">
      <w:pPr>
        <w:rPr>
          <w:b/>
          <w:bCs/>
        </w:rPr>
      </w:pPr>
      <w:r w:rsidRPr="00597F4E">
        <w:rPr>
          <w:b/>
          <w:bCs/>
        </w:rPr>
        <w:t>Sponsor &amp; Partnership Prospectus</w:t>
      </w:r>
    </w:p>
    <w:p w14:paraId="3895C0DF" w14:textId="77777777" w:rsidR="00046FB5" w:rsidRDefault="00000000">
      <w:r>
        <w:t>Theme: From Policy to Practice – Co‑Creating an Inclusive Society in Kenya</w:t>
      </w:r>
    </w:p>
    <w:p w14:paraId="6414FD35" w14:textId="6C773930" w:rsidR="00046FB5" w:rsidRDefault="00000000">
      <w:r>
        <w:t>Dates: 13–1</w:t>
      </w:r>
      <w:r w:rsidR="00B04FA9">
        <w:t>5</w:t>
      </w:r>
      <w:r>
        <w:t xml:space="preserve"> April 2026</w:t>
      </w:r>
    </w:p>
    <w:p w14:paraId="1442BE10" w14:textId="77777777" w:rsidR="00046FB5" w:rsidRDefault="00000000">
      <w:r>
        <w:t>Venue: Kenya Institute of Curriculum Development (KICD), Nairobi</w:t>
      </w:r>
    </w:p>
    <w:p w14:paraId="5F821D30" w14:textId="77777777" w:rsidR="00046FB5" w:rsidRDefault="00000000">
      <w:r>
        <w:t>Host: National Council for Persons with Disabilities (NCPWD)</w:t>
      </w:r>
    </w:p>
    <w:p w14:paraId="1DA6AF2E" w14:textId="77777777" w:rsidR="00046FB5" w:rsidRDefault="00000000">
      <w:r>
        <w:t>In Partnership With: CBM (Christian Blind Mission)</w:t>
      </w:r>
    </w:p>
    <w:p w14:paraId="1E9B2B0A" w14:textId="77777777" w:rsidR="00046FB5" w:rsidRDefault="00000000">
      <w:pPr>
        <w:pStyle w:val="Heading1"/>
      </w:pPr>
      <w:r>
        <w:t>1. Introduction</w:t>
      </w:r>
    </w:p>
    <w:p w14:paraId="41CEE25E" w14:textId="010F2E50" w:rsidR="00046FB5" w:rsidRDefault="00000000">
      <w:r>
        <w:t xml:space="preserve">The National Disability Dialogue (NDD) is Kenya’s premier multi‑stakeholder platform convening government institutions, development partners, </w:t>
      </w:r>
      <w:r w:rsidR="00597F4E">
        <w:t>organizations</w:t>
      </w:r>
      <w:r>
        <w:t xml:space="preserve"> of persons with disabilities (OPDs), civil society and private sector actors to advance disability inclusion. The Dialogue provides a national forum for strengthening implementation of disability policies, sharing innovation and promoting inclusive development.</w:t>
      </w:r>
    </w:p>
    <w:p w14:paraId="38CF11C8" w14:textId="77777777" w:rsidR="00046FB5" w:rsidRDefault="00000000">
      <w:pPr>
        <w:pStyle w:val="Heading1"/>
      </w:pPr>
      <w:r>
        <w:t>2. Key Facts &amp; Figures</w:t>
      </w:r>
    </w:p>
    <w:p w14:paraId="7AE9F321" w14:textId="77777777" w:rsidR="00046FB5" w:rsidRDefault="00000000">
      <w:pPr>
        <w:pStyle w:val="ListBullet"/>
      </w:pPr>
      <w:r>
        <w:t>400+ delegates expected from across Kenya</w:t>
      </w:r>
    </w:p>
    <w:p w14:paraId="7C213225" w14:textId="77777777" w:rsidR="00046FB5" w:rsidRDefault="00000000">
      <w:pPr>
        <w:pStyle w:val="ListBullet"/>
      </w:pPr>
      <w:r>
        <w:t>40+ institutions including government, development partners and OPDs</w:t>
      </w:r>
    </w:p>
    <w:p w14:paraId="208DAAB5" w14:textId="77777777" w:rsidR="00046FB5" w:rsidRDefault="00000000">
      <w:pPr>
        <w:pStyle w:val="ListBullet"/>
      </w:pPr>
      <w:r>
        <w:t>National policy implementation dialogue</w:t>
      </w:r>
    </w:p>
    <w:p w14:paraId="75DA9F91" w14:textId="77777777" w:rsidR="00046FB5" w:rsidRDefault="00000000">
      <w:pPr>
        <w:pStyle w:val="ListBullet"/>
      </w:pPr>
      <w:r>
        <w:t>Disability Innovation &amp; Services Expo</w:t>
      </w:r>
    </w:p>
    <w:p w14:paraId="5F287842" w14:textId="77777777" w:rsidR="00046FB5" w:rsidRDefault="00000000">
      <w:pPr>
        <w:pStyle w:val="ListBullet"/>
      </w:pPr>
      <w:r>
        <w:t>National Disability Inclusion Awards Gala</w:t>
      </w:r>
    </w:p>
    <w:p w14:paraId="2E9A5C1C" w14:textId="77777777" w:rsidR="00046FB5" w:rsidRDefault="00000000">
      <w:pPr>
        <w:pStyle w:val="Heading1"/>
      </w:pPr>
      <w:r>
        <w:t>3. Key Focus Areas</w:t>
      </w:r>
    </w:p>
    <w:p w14:paraId="72CC79BB" w14:textId="77777777" w:rsidR="00046FB5" w:rsidRDefault="00000000">
      <w:pPr>
        <w:pStyle w:val="ListBullet"/>
      </w:pPr>
      <w:r>
        <w:t>Leadership &amp; Governance – strengthening implementation of disability legal frameworks</w:t>
      </w:r>
    </w:p>
    <w:p w14:paraId="2966F9CA" w14:textId="77777777" w:rsidR="00046FB5" w:rsidRDefault="00000000">
      <w:pPr>
        <w:pStyle w:val="ListBullet"/>
      </w:pPr>
      <w:r>
        <w:t>Technology &amp; Innovation – promoting assistive technologies and digital accessibility</w:t>
      </w:r>
    </w:p>
    <w:p w14:paraId="6E8981C9" w14:textId="77777777" w:rsidR="00046FB5" w:rsidRDefault="00000000">
      <w:pPr>
        <w:pStyle w:val="ListBullet"/>
      </w:pPr>
      <w:r>
        <w:t>Human Capital Development – advancing inclusive education, skills and employment</w:t>
      </w:r>
    </w:p>
    <w:p w14:paraId="2C450032" w14:textId="77777777" w:rsidR="00046FB5" w:rsidRDefault="00000000">
      <w:pPr>
        <w:pStyle w:val="ListBullet"/>
      </w:pPr>
      <w:r>
        <w:t>Accessibility &amp; Sustainable Development – improving inclusive infrastructure and services</w:t>
      </w:r>
    </w:p>
    <w:p w14:paraId="6E254186" w14:textId="77777777" w:rsidR="00046FB5" w:rsidRDefault="00000000">
      <w:pPr>
        <w:pStyle w:val="Heading1"/>
      </w:pPr>
      <w:r>
        <w:t>4. Dialogue Components</w:t>
      </w:r>
    </w:p>
    <w:p w14:paraId="264F96D6" w14:textId="77777777" w:rsidR="00046FB5" w:rsidRDefault="00000000">
      <w:pPr>
        <w:pStyle w:val="ListBullet"/>
      </w:pPr>
      <w:r>
        <w:t>National Conference &amp; Policy Dialogue</w:t>
      </w:r>
    </w:p>
    <w:p w14:paraId="565A4B9C" w14:textId="77777777" w:rsidR="00046FB5" w:rsidRDefault="00000000">
      <w:pPr>
        <w:pStyle w:val="ListBullet"/>
      </w:pPr>
      <w:r>
        <w:t>Leadership Roundtable on Policy Implementation</w:t>
      </w:r>
    </w:p>
    <w:p w14:paraId="61137E88" w14:textId="77777777" w:rsidR="00046FB5" w:rsidRDefault="00000000">
      <w:pPr>
        <w:pStyle w:val="ListBullet"/>
      </w:pPr>
      <w:r>
        <w:lastRenderedPageBreak/>
        <w:t>Disability Innovation &amp; Services Expo</w:t>
      </w:r>
    </w:p>
    <w:p w14:paraId="43E9FF99" w14:textId="77777777" w:rsidR="00046FB5" w:rsidRDefault="00000000">
      <w:pPr>
        <w:pStyle w:val="ListBullet"/>
      </w:pPr>
      <w:r>
        <w:t>National Disability Inclusion Awards Gala</w:t>
      </w:r>
    </w:p>
    <w:p w14:paraId="02FF6268" w14:textId="77777777" w:rsidR="00046FB5" w:rsidRDefault="00000000">
      <w:pPr>
        <w:pStyle w:val="Heading1"/>
      </w:pPr>
      <w:r>
        <w:t>5. Budget Overview – KES 8,000,000</w:t>
      </w:r>
    </w:p>
    <w:tbl>
      <w:tblPr>
        <w:tblW w:w="0" w:type="auto"/>
        <w:tblLook w:val="04A0" w:firstRow="1" w:lastRow="0" w:firstColumn="1" w:lastColumn="0" w:noHBand="0" w:noVBand="1"/>
      </w:tblPr>
      <w:tblGrid>
        <w:gridCol w:w="4320"/>
        <w:gridCol w:w="4320"/>
      </w:tblGrid>
      <w:tr w:rsidR="00046FB5" w14:paraId="566D4104" w14:textId="77777777">
        <w:tc>
          <w:tcPr>
            <w:tcW w:w="4320" w:type="dxa"/>
          </w:tcPr>
          <w:p w14:paraId="1A6EF0BF" w14:textId="77777777" w:rsidR="00046FB5" w:rsidRDefault="00000000">
            <w:r>
              <w:t>Programme Area</w:t>
            </w:r>
          </w:p>
        </w:tc>
        <w:tc>
          <w:tcPr>
            <w:tcW w:w="4320" w:type="dxa"/>
          </w:tcPr>
          <w:p w14:paraId="2D169560" w14:textId="77777777" w:rsidR="00046FB5" w:rsidRDefault="00000000">
            <w:r>
              <w:t>Budget (KES)</w:t>
            </w:r>
          </w:p>
        </w:tc>
      </w:tr>
      <w:tr w:rsidR="00046FB5" w14:paraId="5A300A83" w14:textId="77777777">
        <w:tc>
          <w:tcPr>
            <w:tcW w:w="4320" w:type="dxa"/>
          </w:tcPr>
          <w:p w14:paraId="386418AF" w14:textId="77777777" w:rsidR="00046FB5" w:rsidRDefault="00000000">
            <w:r>
              <w:t>Conference Facilities &amp; Catering</w:t>
            </w:r>
          </w:p>
        </w:tc>
        <w:tc>
          <w:tcPr>
            <w:tcW w:w="4320" w:type="dxa"/>
          </w:tcPr>
          <w:p w14:paraId="7313D06E" w14:textId="77777777" w:rsidR="00046FB5" w:rsidRDefault="00000000">
            <w:r>
              <w:t>2,200,000</w:t>
            </w:r>
          </w:p>
        </w:tc>
      </w:tr>
      <w:tr w:rsidR="00046FB5" w14:paraId="46F3CDDA" w14:textId="77777777">
        <w:tc>
          <w:tcPr>
            <w:tcW w:w="4320" w:type="dxa"/>
          </w:tcPr>
          <w:p w14:paraId="00103BDB" w14:textId="77777777" w:rsidR="00046FB5" w:rsidRDefault="00000000">
            <w:r>
              <w:t>Accessibility Services</w:t>
            </w:r>
          </w:p>
        </w:tc>
        <w:tc>
          <w:tcPr>
            <w:tcW w:w="4320" w:type="dxa"/>
          </w:tcPr>
          <w:p w14:paraId="09D4E221" w14:textId="77777777" w:rsidR="00046FB5" w:rsidRDefault="00000000">
            <w:r>
              <w:t>600,000</w:t>
            </w:r>
          </w:p>
        </w:tc>
      </w:tr>
      <w:tr w:rsidR="00046FB5" w14:paraId="04764277" w14:textId="77777777">
        <w:tc>
          <w:tcPr>
            <w:tcW w:w="4320" w:type="dxa"/>
          </w:tcPr>
          <w:p w14:paraId="122CFEBB" w14:textId="77777777" w:rsidR="00046FB5" w:rsidRDefault="00000000">
            <w:r>
              <w:t>Programme Production</w:t>
            </w:r>
          </w:p>
        </w:tc>
        <w:tc>
          <w:tcPr>
            <w:tcW w:w="4320" w:type="dxa"/>
          </w:tcPr>
          <w:p w14:paraId="633507B9" w14:textId="77777777" w:rsidR="00046FB5" w:rsidRDefault="00000000">
            <w:r>
              <w:t>900,000</w:t>
            </w:r>
          </w:p>
        </w:tc>
      </w:tr>
      <w:tr w:rsidR="00046FB5" w14:paraId="4AB97461" w14:textId="77777777">
        <w:tc>
          <w:tcPr>
            <w:tcW w:w="4320" w:type="dxa"/>
          </w:tcPr>
          <w:p w14:paraId="47E0852E" w14:textId="77777777" w:rsidR="00046FB5" w:rsidRDefault="00000000">
            <w:r>
              <w:t>Publicity &amp; Media</w:t>
            </w:r>
          </w:p>
        </w:tc>
        <w:tc>
          <w:tcPr>
            <w:tcW w:w="4320" w:type="dxa"/>
          </w:tcPr>
          <w:p w14:paraId="0B620729" w14:textId="77777777" w:rsidR="00046FB5" w:rsidRDefault="00000000">
            <w:r>
              <w:t>700,000</w:t>
            </w:r>
          </w:p>
        </w:tc>
      </w:tr>
      <w:tr w:rsidR="00046FB5" w14:paraId="6966827B" w14:textId="77777777">
        <w:tc>
          <w:tcPr>
            <w:tcW w:w="4320" w:type="dxa"/>
          </w:tcPr>
          <w:p w14:paraId="47B287D4" w14:textId="77777777" w:rsidR="00046FB5" w:rsidRDefault="00000000">
            <w:r>
              <w:t>Innovation Expo</w:t>
            </w:r>
          </w:p>
        </w:tc>
        <w:tc>
          <w:tcPr>
            <w:tcW w:w="4320" w:type="dxa"/>
          </w:tcPr>
          <w:p w14:paraId="27119AA5" w14:textId="77777777" w:rsidR="00046FB5" w:rsidRDefault="00000000">
            <w:r>
              <w:t>1,100,000</w:t>
            </w:r>
          </w:p>
        </w:tc>
      </w:tr>
      <w:tr w:rsidR="00046FB5" w14:paraId="106C4F97" w14:textId="77777777">
        <w:tc>
          <w:tcPr>
            <w:tcW w:w="4320" w:type="dxa"/>
          </w:tcPr>
          <w:p w14:paraId="1CA8A105" w14:textId="77777777" w:rsidR="00046FB5" w:rsidRDefault="00000000">
            <w:r>
              <w:t>Participant Materials</w:t>
            </w:r>
          </w:p>
        </w:tc>
        <w:tc>
          <w:tcPr>
            <w:tcW w:w="4320" w:type="dxa"/>
          </w:tcPr>
          <w:p w14:paraId="0C360BB8" w14:textId="77777777" w:rsidR="00046FB5" w:rsidRDefault="00000000">
            <w:r>
              <w:t>900,000</w:t>
            </w:r>
          </w:p>
        </w:tc>
      </w:tr>
      <w:tr w:rsidR="00046FB5" w14:paraId="7CDF91FA" w14:textId="77777777">
        <w:tc>
          <w:tcPr>
            <w:tcW w:w="4320" w:type="dxa"/>
          </w:tcPr>
          <w:p w14:paraId="2635FABF" w14:textId="77777777" w:rsidR="00046FB5" w:rsidRDefault="00000000">
            <w:r>
              <w:t>Speakers &amp; Moderators</w:t>
            </w:r>
          </w:p>
        </w:tc>
        <w:tc>
          <w:tcPr>
            <w:tcW w:w="4320" w:type="dxa"/>
          </w:tcPr>
          <w:p w14:paraId="7FE12F46" w14:textId="77777777" w:rsidR="00046FB5" w:rsidRDefault="00000000">
            <w:r>
              <w:t>600,000</w:t>
            </w:r>
          </w:p>
        </w:tc>
      </w:tr>
      <w:tr w:rsidR="00046FB5" w14:paraId="66B68C2C" w14:textId="77777777">
        <w:tc>
          <w:tcPr>
            <w:tcW w:w="4320" w:type="dxa"/>
          </w:tcPr>
          <w:p w14:paraId="27F02646" w14:textId="77777777" w:rsidR="00046FB5" w:rsidRDefault="00000000">
            <w:r>
              <w:t>Accessibility &amp; Sustainable Development Gala</w:t>
            </w:r>
          </w:p>
        </w:tc>
        <w:tc>
          <w:tcPr>
            <w:tcW w:w="4320" w:type="dxa"/>
          </w:tcPr>
          <w:p w14:paraId="42F9080C" w14:textId="77777777" w:rsidR="00046FB5" w:rsidRDefault="00000000">
            <w:r>
              <w:t>1,000,000</w:t>
            </w:r>
          </w:p>
        </w:tc>
      </w:tr>
    </w:tbl>
    <w:p w14:paraId="042C6FB2" w14:textId="77777777" w:rsidR="00046FB5" w:rsidRDefault="00000000">
      <w:pPr>
        <w:pStyle w:val="Heading1"/>
      </w:pPr>
      <w:r>
        <w:t>6. Strategic Sponsorship Opportunities</w:t>
      </w:r>
    </w:p>
    <w:p w14:paraId="37C5AEDF" w14:textId="77777777" w:rsidR="00046FB5" w:rsidRDefault="00000000">
      <w:pPr>
        <w:pStyle w:val="Heading2"/>
      </w:pPr>
      <w:r>
        <w:t>Conference Facilities Partner – 2.2M</w:t>
      </w:r>
    </w:p>
    <w:p w14:paraId="35D2651F" w14:textId="77777777" w:rsidR="00046FB5" w:rsidRDefault="00000000">
      <w:r>
        <w:t>Venue logistics, catering and conference infrastructure.</w:t>
      </w:r>
    </w:p>
    <w:p w14:paraId="637E345F" w14:textId="77777777" w:rsidR="00046FB5" w:rsidRDefault="00000000">
      <w:pPr>
        <w:pStyle w:val="Heading2"/>
      </w:pPr>
      <w:r>
        <w:t>Accessibility Champion – 600K</w:t>
      </w:r>
    </w:p>
    <w:p w14:paraId="7BABFFBE" w14:textId="77777777" w:rsidR="00046FB5" w:rsidRDefault="00000000">
      <w:r>
        <w:t>Sign language interpretation, captioning and accessible materials.</w:t>
      </w:r>
    </w:p>
    <w:p w14:paraId="107F170F" w14:textId="77777777" w:rsidR="00046FB5" w:rsidRDefault="00000000">
      <w:pPr>
        <w:pStyle w:val="Heading2"/>
      </w:pPr>
      <w:r>
        <w:t>Programme Production Partner – 900K</w:t>
      </w:r>
    </w:p>
    <w:p w14:paraId="76A457D0" w14:textId="77777777" w:rsidR="00046FB5" w:rsidRDefault="00000000">
      <w:r>
        <w:t>Stage design, AV production and event setup.</w:t>
      </w:r>
    </w:p>
    <w:p w14:paraId="19C9BDB3" w14:textId="77777777" w:rsidR="00046FB5" w:rsidRDefault="00000000">
      <w:pPr>
        <w:pStyle w:val="Heading2"/>
      </w:pPr>
      <w:r>
        <w:t>Media &amp; Communications Partner – 700K</w:t>
      </w:r>
    </w:p>
    <w:p w14:paraId="6B7F4EAC" w14:textId="77777777" w:rsidR="00046FB5" w:rsidRDefault="00000000">
      <w:r>
        <w:t>Public awareness campaigns and media engagement.</w:t>
      </w:r>
    </w:p>
    <w:p w14:paraId="0DFA03BD" w14:textId="77777777" w:rsidR="00046FB5" w:rsidRDefault="00000000">
      <w:pPr>
        <w:pStyle w:val="Heading2"/>
      </w:pPr>
      <w:r>
        <w:t>Innovation &amp; Technology Partner – 1.1M</w:t>
      </w:r>
    </w:p>
    <w:p w14:paraId="4B6E28D3" w14:textId="77777777" w:rsidR="00046FB5" w:rsidRDefault="00000000">
      <w:r>
        <w:t>Disability Innovation Expo and assistive technology showcases.</w:t>
      </w:r>
    </w:p>
    <w:p w14:paraId="5C210536" w14:textId="77777777" w:rsidR="00046FB5" w:rsidRDefault="00000000">
      <w:pPr>
        <w:pStyle w:val="Heading2"/>
      </w:pPr>
      <w:r>
        <w:t>Participant Inclusion Partner – 900K</w:t>
      </w:r>
    </w:p>
    <w:p w14:paraId="79D1CB4B" w14:textId="77777777" w:rsidR="00046FB5" w:rsidRDefault="00000000">
      <w:r>
        <w:t>Participation support for OPDs, youth and community stakeholders.</w:t>
      </w:r>
    </w:p>
    <w:p w14:paraId="007104EB" w14:textId="77777777" w:rsidR="00046FB5" w:rsidRDefault="00000000">
      <w:pPr>
        <w:pStyle w:val="Heading2"/>
      </w:pPr>
      <w:r>
        <w:lastRenderedPageBreak/>
        <w:t>Accessibility &amp; Sustainable Development Gala Partner – 1M</w:t>
      </w:r>
    </w:p>
    <w:p w14:paraId="0AD66AD7" w14:textId="77777777" w:rsidR="00046FB5" w:rsidRDefault="00000000">
      <w:r>
        <w:t>National Disability Inclusion Awards Gala Dinner.</w:t>
      </w:r>
    </w:p>
    <w:p w14:paraId="5ECD67D0" w14:textId="77777777" w:rsidR="00046FB5" w:rsidRDefault="00000000">
      <w:pPr>
        <w:pStyle w:val="Heading1"/>
      </w:pPr>
      <w:r>
        <w:t>7. Sponsorship Benefits Overview</w:t>
      </w:r>
    </w:p>
    <w:tbl>
      <w:tblPr>
        <w:tblW w:w="0" w:type="auto"/>
        <w:tblLook w:val="04A0" w:firstRow="1" w:lastRow="0" w:firstColumn="1" w:lastColumn="0" w:noHBand="0" w:noVBand="1"/>
      </w:tblPr>
      <w:tblGrid>
        <w:gridCol w:w="2160"/>
        <w:gridCol w:w="2160"/>
        <w:gridCol w:w="2160"/>
        <w:gridCol w:w="2160"/>
      </w:tblGrid>
      <w:tr w:rsidR="00046FB5" w14:paraId="42A1DF43" w14:textId="77777777">
        <w:tc>
          <w:tcPr>
            <w:tcW w:w="2160" w:type="dxa"/>
          </w:tcPr>
          <w:p w14:paraId="09147444" w14:textId="77777777" w:rsidR="00046FB5" w:rsidRDefault="00000000">
            <w:r>
              <w:t>Benefit</w:t>
            </w:r>
          </w:p>
        </w:tc>
        <w:tc>
          <w:tcPr>
            <w:tcW w:w="2160" w:type="dxa"/>
          </w:tcPr>
          <w:p w14:paraId="70BCFA77" w14:textId="77777777" w:rsidR="00046FB5" w:rsidRDefault="00000000">
            <w:r>
              <w:t>Major Partner</w:t>
            </w:r>
          </w:p>
        </w:tc>
        <w:tc>
          <w:tcPr>
            <w:tcW w:w="2160" w:type="dxa"/>
          </w:tcPr>
          <w:p w14:paraId="1CE1960D" w14:textId="77777777" w:rsidR="00046FB5" w:rsidRDefault="00000000">
            <w:r>
              <w:t>Programme Partner</w:t>
            </w:r>
          </w:p>
        </w:tc>
        <w:tc>
          <w:tcPr>
            <w:tcW w:w="2160" w:type="dxa"/>
          </w:tcPr>
          <w:p w14:paraId="15463D14" w14:textId="77777777" w:rsidR="00046FB5" w:rsidRDefault="00000000">
            <w:r>
              <w:t>Supporting Partner</w:t>
            </w:r>
          </w:p>
        </w:tc>
      </w:tr>
      <w:tr w:rsidR="00046FB5" w14:paraId="4E7E3481" w14:textId="77777777">
        <w:tc>
          <w:tcPr>
            <w:tcW w:w="2160" w:type="dxa"/>
          </w:tcPr>
          <w:p w14:paraId="56FEF39E" w14:textId="77777777" w:rsidR="00046FB5" w:rsidRDefault="00000000">
            <w:r>
              <w:t>Logo visibility</w:t>
            </w:r>
          </w:p>
        </w:tc>
        <w:tc>
          <w:tcPr>
            <w:tcW w:w="2160" w:type="dxa"/>
          </w:tcPr>
          <w:p w14:paraId="0DD4CBEB" w14:textId="77777777" w:rsidR="00046FB5" w:rsidRDefault="00000000">
            <w:r>
              <w:t>✔</w:t>
            </w:r>
          </w:p>
        </w:tc>
        <w:tc>
          <w:tcPr>
            <w:tcW w:w="2160" w:type="dxa"/>
          </w:tcPr>
          <w:p w14:paraId="379FAFD8" w14:textId="77777777" w:rsidR="00046FB5" w:rsidRDefault="00000000">
            <w:r>
              <w:t>✔</w:t>
            </w:r>
          </w:p>
        </w:tc>
        <w:tc>
          <w:tcPr>
            <w:tcW w:w="2160" w:type="dxa"/>
          </w:tcPr>
          <w:p w14:paraId="0429B129" w14:textId="77777777" w:rsidR="00046FB5" w:rsidRDefault="00000000">
            <w:r>
              <w:t>✔</w:t>
            </w:r>
          </w:p>
        </w:tc>
      </w:tr>
      <w:tr w:rsidR="00046FB5" w14:paraId="51D91D0E" w14:textId="77777777">
        <w:tc>
          <w:tcPr>
            <w:tcW w:w="2160" w:type="dxa"/>
          </w:tcPr>
          <w:p w14:paraId="5AB1250F" w14:textId="77777777" w:rsidR="00046FB5" w:rsidRDefault="00000000">
            <w:r>
              <w:t>Speaking opportunity</w:t>
            </w:r>
          </w:p>
        </w:tc>
        <w:tc>
          <w:tcPr>
            <w:tcW w:w="2160" w:type="dxa"/>
          </w:tcPr>
          <w:p w14:paraId="58E79560" w14:textId="77777777" w:rsidR="00046FB5" w:rsidRDefault="00000000">
            <w:r>
              <w:t>✔</w:t>
            </w:r>
          </w:p>
        </w:tc>
        <w:tc>
          <w:tcPr>
            <w:tcW w:w="2160" w:type="dxa"/>
          </w:tcPr>
          <w:p w14:paraId="475A776A" w14:textId="77777777" w:rsidR="00046FB5" w:rsidRDefault="00000000">
            <w:r>
              <w:t>—</w:t>
            </w:r>
          </w:p>
        </w:tc>
        <w:tc>
          <w:tcPr>
            <w:tcW w:w="2160" w:type="dxa"/>
          </w:tcPr>
          <w:p w14:paraId="74A3FACA" w14:textId="77777777" w:rsidR="00046FB5" w:rsidRDefault="00000000">
            <w:r>
              <w:t>—</w:t>
            </w:r>
          </w:p>
        </w:tc>
      </w:tr>
      <w:tr w:rsidR="00046FB5" w14:paraId="53C6070B" w14:textId="77777777">
        <w:tc>
          <w:tcPr>
            <w:tcW w:w="2160" w:type="dxa"/>
          </w:tcPr>
          <w:p w14:paraId="113C7DBA" w14:textId="77777777" w:rsidR="00046FB5" w:rsidRDefault="00000000">
            <w:r>
              <w:t>Exhibition opportunity</w:t>
            </w:r>
          </w:p>
        </w:tc>
        <w:tc>
          <w:tcPr>
            <w:tcW w:w="2160" w:type="dxa"/>
          </w:tcPr>
          <w:p w14:paraId="58B001AA" w14:textId="77777777" w:rsidR="00046FB5" w:rsidRDefault="00000000">
            <w:r>
              <w:t>✔</w:t>
            </w:r>
          </w:p>
        </w:tc>
        <w:tc>
          <w:tcPr>
            <w:tcW w:w="2160" w:type="dxa"/>
          </w:tcPr>
          <w:p w14:paraId="733CC054" w14:textId="77777777" w:rsidR="00046FB5" w:rsidRDefault="00000000">
            <w:r>
              <w:t>✔</w:t>
            </w:r>
          </w:p>
        </w:tc>
        <w:tc>
          <w:tcPr>
            <w:tcW w:w="2160" w:type="dxa"/>
          </w:tcPr>
          <w:p w14:paraId="7CAB5418" w14:textId="77777777" w:rsidR="00046FB5" w:rsidRDefault="00000000">
            <w:r>
              <w:t>—</w:t>
            </w:r>
          </w:p>
        </w:tc>
      </w:tr>
      <w:tr w:rsidR="00046FB5" w14:paraId="4BF365F5" w14:textId="77777777">
        <w:tc>
          <w:tcPr>
            <w:tcW w:w="2160" w:type="dxa"/>
          </w:tcPr>
          <w:p w14:paraId="6F09013E" w14:textId="77777777" w:rsidR="00046FB5" w:rsidRDefault="00000000">
            <w:r>
              <w:t>Recognition in media</w:t>
            </w:r>
          </w:p>
        </w:tc>
        <w:tc>
          <w:tcPr>
            <w:tcW w:w="2160" w:type="dxa"/>
          </w:tcPr>
          <w:p w14:paraId="478195F8" w14:textId="77777777" w:rsidR="00046FB5" w:rsidRDefault="00000000">
            <w:r>
              <w:t>✔</w:t>
            </w:r>
          </w:p>
        </w:tc>
        <w:tc>
          <w:tcPr>
            <w:tcW w:w="2160" w:type="dxa"/>
          </w:tcPr>
          <w:p w14:paraId="51631B0B" w14:textId="77777777" w:rsidR="00046FB5" w:rsidRDefault="00000000">
            <w:r>
              <w:t>✔</w:t>
            </w:r>
          </w:p>
        </w:tc>
        <w:tc>
          <w:tcPr>
            <w:tcW w:w="2160" w:type="dxa"/>
          </w:tcPr>
          <w:p w14:paraId="62114791" w14:textId="77777777" w:rsidR="00046FB5" w:rsidRDefault="00000000">
            <w:r>
              <w:t>✔</w:t>
            </w:r>
          </w:p>
        </w:tc>
      </w:tr>
      <w:tr w:rsidR="00046FB5" w14:paraId="29E2CC3D" w14:textId="77777777">
        <w:tc>
          <w:tcPr>
            <w:tcW w:w="2160" w:type="dxa"/>
          </w:tcPr>
          <w:p w14:paraId="539B5181" w14:textId="77777777" w:rsidR="00046FB5" w:rsidRDefault="00000000">
            <w:r>
              <w:t>Award presentation opportunity</w:t>
            </w:r>
          </w:p>
        </w:tc>
        <w:tc>
          <w:tcPr>
            <w:tcW w:w="2160" w:type="dxa"/>
          </w:tcPr>
          <w:p w14:paraId="0892921D" w14:textId="77777777" w:rsidR="00046FB5" w:rsidRDefault="00000000">
            <w:r>
              <w:t>✔</w:t>
            </w:r>
          </w:p>
        </w:tc>
        <w:tc>
          <w:tcPr>
            <w:tcW w:w="2160" w:type="dxa"/>
          </w:tcPr>
          <w:p w14:paraId="79FC2A9D" w14:textId="77777777" w:rsidR="00046FB5" w:rsidRDefault="00000000">
            <w:r>
              <w:t>—</w:t>
            </w:r>
          </w:p>
        </w:tc>
        <w:tc>
          <w:tcPr>
            <w:tcW w:w="2160" w:type="dxa"/>
          </w:tcPr>
          <w:p w14:paraId="59FBBF32" w14:textId="77777777" w:rsidR="00046FB5" w:rsidRDefault="00000000">
            <w:r>
              <w:t>—</w:t>
            </w:r>
          </w:p>
        </w:tc>
      </w:tr>
      <w:tr w:rsidR="00046FB5" w14:paraId="7B6C5773" w14:textId="77777777">
        <w:tc>
          <w:tcPr>
            <w:tcW w:w="2160" w:type="dxa"/>
          </w:tcPr>
          <w:p w14:paraId="7CC20949" w14:textId="77777777" w:rsidR="00046FB5" w:rsidRDefault="00000000">
            <w:r>
              <w:t>Networking with policymakers</w:t>
            </w:r>
          </w:p>
        </w:tc>
        <w:tc>
          <w:tcPr>
            <w:tcW w:w="2160" w:type="dxa"/>
          </w:tcPr>
          <w:p w14:paraId="3AEB4083" w14:textId="77777777" w:rsidR="00046FB5" w:rsidRDefault="00000000">
            <w:r>
              <w:t>✔</w:t>
            </w:r>
          </w:p>
        </w:tc>
        <w:tc>
          <w:tcPr>
            <w:tcW w:w="2160" w:type="dxa"/>
          </w:tcPr>
          <w:p w14:paraId="6E16B954" w14:textId="77777777" w:rsidR="00046FB5" w:rsidRDefault="00000000">
            <w:r>
              <w:t>✔</w:t>
            </w:r>
          </w:p>
        </w:tc>
        <w:tc>
          <w:tcPr>
            <w:tcW w:w="2160" w:type="dxa"/>
          </w:tcPr>
          <w:p w14:paraId="78D0C040" w14:textId="77777777" w:rsidR="00046FB5" w:rsidRDefault="00000000">
            <w:r>
              <w:t>✔</w:t>
            </w:r>
          </w:p>
        </w:tc>
      </w:tr>
    </w:tbl>
    <w:p w14:paraId="0663CEE4" w14:textId="77777777" w:rsidR="00046FB5" w:rsidRDefault="00000000">
      <w:pPr>
        <w:pStyle w:val="Heading1"/>
      </w:pPr>
      <w:r>
        <w:t>8. Expected Impact</w:t>
      </w:r>
    </w:p>
    <w:p w14:paraId="3E04BAE6" w14:textId="77777777" w:rsidR="00046FB5" w:rsidRDefault="00000000">
      <w:pPr>
        <w:pStyle w:val="ListBullet"/>
      </w:pPr>
      <w:r>
        <w:t>Increased national awareness on disability inclusion</w:t>
      </w:r>
    </w:p>
    <w:p w14:paraId="5682DAA0" w14:textId="77777777" w:rsidR="00046FB5" w:rsidRDefault="00000000">
      <w:pPr>
        <w:pStyle w:val="ListBullet"/>
      </w:pPr>
      <w:r>
        <w:t>Stronger coordination among disability stakeholders</w:t>
      </w:r>
    </w:p>
    <w:p w14:paraId="750A1A7E" w14:textId="77777777" w:rsidR="00046FB5" w:rsidRDefault="00000000">
      <w:pPr>
        <w:pStyle w:val="ListBullet"/>
      </w:pPr>
      <w:r>
        <w:t>Improved implementation of disability policies</w:t>
      </w:r>
    </w:p>
    <w:p w14:paraId="1FA742F8" w14:textId="77777777" w:rsidR="00046FB5" w:rsidRDefault="00000000">
      <w:pPr>
        <w:pStyle w:val="ListBullet"/>
      </w:pPr>
      <w:r>
        <w:t>Expanded access to inclusive services and opportunities</w:t>
      </w:r>
    </w:p>
    <w:p w14:paraId="6EC0ECD9" w14:textId="77777777" w:rsidR="00046FB5" w:rsidRDefault="00000000">
      <w:pPr>
        <w:pStyle w:val="Heading1"/>
      </w:pPr>
      <w:r>
        <w:t>9. Call to Partnership</w:t>
      </w:r>
    </w:p>
    <w:p w14:paraId="7A4B28FB" w14:textId="77777777" w:rsidR="00046FB5" w:rsidRDefault="00000000">
      <w:r>
        <w:t>We invite institutions and partners to collaborate in advancing disability inclusion in Kenya through support to the National Disability Dialogue 2026. By partnering with the Dialogue, stakeholders contribute to strengthening policy implementation, promoting innovation and expanding inclusive opportunities for persons with disabilities.</w:t>
      </w:r>
    </w:p>
    <w:sectPr w:rsidR="00046FB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594455">
    <w:abstractNumId w:val="8"/>
  </w:num>
  <w:num w:numId="2" w16cid:durableId="1234314223">
    <w:abstractNumId w:val="6"/>
  </w:num>
  <w:num w:numId="3" w16cid:durableId="274023061">
    <w:abstractNumId w:val="5"/>
  </w:num>
  <w:num w:numId="4" w16cid:durableId="1364094890">
    <w:abstractNumId w:val="4"/>
  </w:num>
  <w:num w:numId="5" w16cid:durableId="1886790054">
    <w:abstractNumId w:val="7"/>
  </w:num>
  <w:num w:numId="6" w16cid:durableId="1760713514">
    <w:abstractNumId w:val="3"/>
  </w:num>
  <w:num w:numId="7" w16cid:durableId="1458992506">
    <w:abstractNumId w:val="2"/>
  </w:num>
  <w:num w:numId="8" w16cid:durableId="28068167">
    <w:abstractNumId w:val="1"/>
  </w:num>
  <w:num w:numId="9" w16cid:durableId="1983120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FB5"/>
    <w:rsid w:val="0006063C"/>
    <w:rsid w:val="00105FCD"/>
    <w:rsid w:val="0015074B"/>
    <w:rsid w:val="0029639D"/>
    <w:rsid w:val="002A31BB"/>
    <w:rsid w:val="00326F90"/>
    <w:rsid w:val="00597F4E"/>
    <w:rsid w:val="00A538CA"/>
    <w:rsid w:val="00AA1D8D"/>
    <w:rsid w:val="00B04FA9"/>
    <w:rsid w:val="00B47730"/>
    <w:rsid w:val="00CB0664"/>
    <w:rsid w:val="00DD25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03ADA"/>
  <w14:defaultImageDpi w14:val="300"/>
  <w15:docId w15:val="{5CB44403-CF8C-4AE5-8BD5-7A5D65ED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Edith Apiyo</cp:lastModifiedBy>
  <cp:revision>2</cp:revision>
  <dcterms:created xsi:type="dcterms:W3CDTF">2026-03-09T07:13:00Z</dcterms:created>
  <dcterms:modified xsi:type="dcterms:W3CDTF">2026-03-09T07:13:00Z</dcterms:modified>
  <cp:category/>
</cp:coreProperties>
</file>